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192" w:lineRule="auto" w:before="77"/>
        <w:ind w:left="3811" w:right="117" w:hanging="3514"/>
        <w:jc w:val="left"/>
        <w:rPr>
          <w:b/>
          <w:sz w:val="36"/>
        </w:rPr>
      </w:pPr>
      <w:r>
        <w:rPr>
          <w:b/>
          <w:spacing w:val="-2"/>
          <w:sz w:val="36"/>
        </w:rPr>
        <w:t>新北市政府教育局暨所屬機關學校幼兒園預付費用及暫付款款項借支注意要點</w:t>
      </w:r>
    </w:p>
    <w:p>
      <w:pPr>
        <w:spacing w:before="68"/>
        <w:ind w:left="4735" w:right="0" w:firstLine="0"/>
        <w:jc w:val="left"/>
        <w:rPr>
          <w:sz w:val="20"/>
        </w:rPr>
      </w:pPr>
      <w:r>
        <w:rPr>
          <w:spacing w:val="-11"/>
          <w:sz w:val="20"/>
        </w:rPr>
        <w:t>中華民國 </w:t>
      </w:r>
      <w:r>
        <w:rPr>
          <w:spacing w:val="-2"/>
          <w:sz w:val="20"/>
        </w:rPr>
        <w:t>112</w:t>
      </w:r>
      <w:r>
        <w:rPr>
          <w:spacing w:val="-32"/>
          <w:sz w:val="20"/>
        </w:rPr>
        <w:t> 年 </w:t>
      </w:r>
      <w:r>
        <w:rPr>
          <w:spacing w:val="-2"/>
          <w:sz w:val="20"/>
        </w:rPr>
        <w:t>10</w:t>
      </w:r>
      <w:r>
        <w:rPr>
          <w:spacing w:val="-32"/>
          <w:sz w:val="20"/>
        </w:rPr>
        <w:t> 月 </w:t>
      </w:r>
      <w:r>
        <w:rPr>
          <w:spacing w:val="-2"/>
          <w:sz w:val="20"/>
        </w:rPr>
        <w:t>24</w:t>
      </w:r>
      <w:r>
        <w:rPr>
          <w:spacing w:val="-15"/>
          <w:sz w:val="20"/>
        </w:rPr>
        <w:t> 日北教會字第 </w:t>
      </w:r>
      <w:r>
        <w:rPr>
          <w:spacing w:val="-2"/>
          <w:sz w:val="20"/>
        </w:rPr>
        <w:t>1122110861</w:t>
      </w:r>
      <w:r>
        <w:rPr>
          <w:spacing w:val="-14"/>
          <w:sz w:val="20"/>
        </w:rPr>
        <w:t> 號函訂定</w:t>
      </w:r>
    </w:p>
    <w:p>
      <w:pPr>
        <w:pStyle w:val="BodyText"/>
        <w:spacing w:line="232" w:lineRule="auto" w:before="28"/>
        <w:ind w:left="832" w:right="112" w:hanging="720"/>
        <w:jc w:val="both"/>
      </w:pPr>
      <w:r>
        <w:rPr>
          <w:spacing w:val="-6"/>
        </w:rPr>
        <w:t>一、 新北市政府教育局暨所屬機關學校幼兒園</w:t>
      </w:r>
      <w:r>
        <w:rPr/>
        <w:t>（以下簡稱學校）因業務需要、符</w:t>
      </w:r>
      <w:r>
        <w:rPr>
          <w:spacing w:val="-2"/>
        </w:rPr>
        <w:t>合採購法第七十三條之一付款期限、委辦或補助機關款項尚未撥入前有先行支應之必要等因素，在其預算分配額度內</w:t>
      </w:r>
      <w:r>
        <w:rPr>
          <w:rFonts w:ascii="新細明體" w:eastAsia="新細明體" w:hint="eastAsia"/>
          <w:spacing w:val="-2"/>
        </w:rPr>
        <w:t>、</w:t>
      </w:r>
      <w:r>
        <w:rPr>
          <w:spacing w:val="-2"/>
        </w:rPr>
        <w:t>委辦或補助計畫核定支用範圍內准予辦理借支事項。</w:t>
      </w:r>
    </w:p>
    <w:p>
      <w:pPr>
        <w:pStyle w:val="BodyText"/>
        <w:spacing w:line="232" w:lineRule="auto" w:before="2"/>
        <w:ind w:left="832" w:right="353" w:hanging="720"/>
        <w:jc w:val="both"/>
      </w:pPr>
      <w:r>
        <w:rPr>
          <w:spacing w:val="-4"/>
        </w:rPr>
        <w:t>二、 學校預付費用及暫付款款項「以下簡稱預</w:t>
      </w:r>
      <w:r>
        <w:rPr/>
        <w:t>（暫）付款項」借支申請及核銷</w:t>
      </w:r>
      <w:r>
        <w:rPr>
          <w:spacing w:val="-2"/>
        </w:rPr>
        <w:t>轉正作業程序如下：</w:t>
      </w:r>
    </w:p>
    <w:p>
      <w:pPr>
        <w:pStyle w:val="BodyText"/>
        <w:spacing w:line="377" w:lineRule="exact"/>
        <w:ind w:left="393"/>
      </w:pPr>
      <w:r>
        <w:rPr>
          <w:spacing w:val="-2"/>
        </w:rPr>
        <w:t>（一）</w:t>
      </w:r>
      <w:r>
        <w:rPr>
          <w:spacing w:val="-4"/>
        </w:rPr>
        <w:t>金額逾一萬元</w:t>
      </w:r>
    </w:p>
    <w:p>
      <w:pPr>
        <w:pStyle w:val="ListParagraph"/>
        <w:numPr>
          <w:ilvl w:val="0"/>
          <w:numId w:val="1"/>
        </w:numPr>
        <w:tabs>
          <w:tab w:pos="1302" w:val="left" w:leader="none"/>
        </w:tabs>
        <w:spacing w:line="380" w:lineRule="exact" w:before="0" w:after="0"/>
        <w:ind w:left="1302" w:right="0" w:hanging="231"/>
        <w:jc w:val="left"/>
        <w:rPr>
          <w:sz w:val="28"/>
        </w:rPr>
      </w:pPr>
      <w:r>
        <w:rPr>
          <w:spacing w:val="-2"/>
          <w:sz w:val="28"/>
        </w:rPr>
        <w:t>預（暫）</w:t>
      </w:r>
      <w:r>
        <w:rPr>
          <w:spacing w:val="-4"/>
          <w:sz w:val="28"/>
        </w:rPr>
        <w:t>付款項借支申請：</w:t>
      </w:r>
    </w:p>
    <w:p>
      <w:pPr>
        <w:pStyle w:val="ListParagraph"/>
        <w:numPr>
          <w:ilvl w:val="0"/>
          <w:numId w:val="2"/>
        </w:numPr>
        <w:tabs>
          <w:tab w:pos="1735" w:val="left" w:leader="none"/>
        </w:tabs>
        <w:spacing w:line="379" w:lineRule="exact" w:before="0" w:after="0"/>
        <w:ind w:left="1735" w:right="0" w:hanging="663"/>
        <w:jc w:val="left"/>
        <w:rPr>
          <w:sz w:val="28"/>
        </w:rPr>
      </w:pPr>
      <w:r>
        <w:rPr>
          <w:spacing w:val="-9"/>
          <w:sz w:val="28"/>
        </w:rPr>
        <w:t>各單位有先行支應之必要等，填具「預付費用及暫付款款項申請表」</w:t>
      </w:r>
    </w:p>
    <w:p>
      <w:pPr>
        <w:pStyle w:val="BodyText"/>
        <w:spacing w:line="232" w:lineRule="auto" w:before="2"/>
        <w:ind w:left="1772" w:right="106"/>
      </w:pPr>
      <w:r>
        <w:rPr>
          <w:spacing w:val="-4"/>
        </w:rPr>
        <w:t>（以下簡稱預（暫）付申請表</w:t>
      </w:r>
      <w:r>
        <w:rPr>
          <w:spacing w:val="-166"/>
        </w:rPr>
        <w:t>）</w:t>
      </w:r>
      <w:r>
        <w:rPr/>
        <w:t>（</w:t>
      </w:r>
      <w:r>
        <w:rPr>
          <w:spacing w:val="-4"/>
        </w:rPr>
        <w:t>附表一</w:t>
      </w:r>
      <w:r>
        <w:rPr>
          <w:spacing w:val="-154"/>
        </w:rPr>
        <w:t>）</w:t>
      </w:r>
      <w:r>
        <w:rPr>
          <w:spacing w:val="-7"/>
        </w:rPr>
        <w:t>，經單位主管、主辦會計、</w:t>
      </w:r>
      <w:r>
        <w:rPr>
          <w:spacing w:val="-2"/>
        </w:rPr>
        <w:t>機關首長或其授權人核准，始得辦理預（暫）付款項借支。</w:t>
      </w:r>
    </w:p>
    <w:p>
      <w:pPr>
        <w:pStyle w:val="ListParagraph"/>
        <w:numPr>
          <w:ilvl w:val="0"/>
          <w:numId w:val="2"/>
        </w:numPr>
        <w:tabs>
          <w:tab w:pos="1757" w:val="left" w:leader="none"/>
          <w:tab w:pos="1771" w:val="left" w:leader="none"/>
        </w:tabs>
        <w:spacing w:line="232" w:lineRule="auto" w:before="1" w:after="0"/>
        <w:ind w:left="1771" w:right="109" w:hanging="701"/>
        <w:jc w:val="both"/>
        <w:rPr>
          <w:sz w:val="28"/>
        </w:rPr>
      </w:pPr>
      <w:r>
        <w:rPr>
          <w:spacing w:val="-6"/>
          <w:sz w:val="28"/>
        </w:rPr>
        <w:t>預（暫）付款項以簽呈辦理，應於簽文內敍明動支事由、經費來源、預借金額、預借人、預計核銷日期及檢附相關核定文件等，借支時得</w:t>
      </w:r>
      <w:r>
        <w:rPr>
          <w:spacing w:val="-2"/>
          <w:sz w:val="28"/>
        </w:rPr>
        <w:t>免附「預（暫）</w:t>
      </w:r>
      <w:r>
        <w:rPr>
          <w:spacing w:val="-30"/>
          <w:sz w:val="28"/>
        </w:rPr>
        <w:t>付申請表」</w:t>
      </w:r>
      <w:r>
        <w:rPr>
          <w:spacing w:val="-2"/>
          <w:sz w:val="28"/>
        </w:rPr>
        <w:t>（附表一</w:t>
      </w:r>
      <w:r>
        <w:rPr>
          <w:spacing w:val="-142"/>
          <w:sz w:val="28"/>
        </w:rPr>
        <w:t>）。</w:t>
      </w:r>
    </w:p>
    <w:p>
      <w:pPr>
        <w:pStyle w:val="ListParagraph"/>
        <w:numPr>
          <w:ilvl w:val="0"/>
          <w:numId w:val="1"/>
        </w:numPr>
        <w:tabs>
          <w:tab w:pos="1442" w:val="left" w:leader="none"/>
        </w:tabs>
        <w:spacing w:line="377" w:lineRule="exact" w:before="0" w:after="0"/>
        <w:ind w:left="1442" w:right="0" w:hanging="372"/>
        <w:jc w:val="both"/>
        <w:rPr>
          <w:sz w:val="28"/>
        </w:rPr>
      </w:pPr>
      <w:r>
        <w:rPr>
          <w:spacing w:val="-2"/>
          <w:sz w:val="28"/>
        </w:rPr>
        <w:t>預（暫）</w:t>
      </w:r>
      <w:r>
        <w:rPr>
          <w:spacing w:val="-4"/>
          <w:sz w:val="28"/>
        </w:rPr>
        <w:t>付款項核銷轉正：</w:t>
      </w:r>
    </w:p>
    <w:p>
      <w:pPr>
        <w:pStyle w:val="ListParagraph"/>
        <w:numPr>
          <w:ilvl w:val="0"/>
          <w:numId w:val="3"/>
        </w:numPr>
        <w:tabs>
          <w:tab w:pos="1759" w:val="left" w:leader="none"/>
          <w:tab w:pos="1771" w:val="left" w:leader="none"/>
        </w:tabs>
        <w:spacing w:line="232" w:lineRule="auto" w:before="2" w:after="0"/>
        <w:ind w:left="1771" w:right="107" w:hanging="701"/>
        <w:jc w:val="left"/>
        <w:rPr>
          <w:sz w:val="28"/>
        </w:rPr>
      </w:pPr>
      <w:r>
        <w:rPr>
          <w:spacing w:val="-6"/>
          <w:sz w:val="28"/>
        </w:rPr>
        <w:t>各單位檢附原預（暫）付申請表、支出憑證（如發票或普通收據）等</w:t>
      </w:r>
      <w:r>
        <w:rPr>
          <w:spacing w:val="-2"/>
          <w:sz w:val="28"/>
        </w:rPr>
        <w:t>資料辦理核銷轉正，於黏貼憑證用紙註明「預（暫）</w:t>
      </w:r>
      <w:r>
        <w:rPr>
          <w:spacing w:val="-30"/>
          <w:sz w:val="28"/>
        </w:rPr>
        <w:t>付轉正」。</w:t>
      </w:r>
    </w:p>
    <w:p>
      <w:pPr>
        <w:pStyle w:val="ListParagraph"/>
        <w:numPr>
          <w:ilvl w:val="0"/>
          <w:numId w:val="3"/>
        </w:numPr>
        <w:tabs>
          <w:tab w:pos="1732" w:val="left" w:leader="none"/>
          <w:tab w:pos="1770" w:val="left" w:leader="none"/>
        </w:tabs>
        <w:spacing w:line="232" w:lineRule="auto" w:before="1" w:after="0"/>
        <w:ind w:left="1770" w:right="110" w:hanging="701"/>
        <w:jc w:val="both"/>
        <w:rPr>
          <w:sz w:val="28"/>
        </w:rPr>
      </w:pPr>
      <w:r>
        <w:rPr>
          <w:spacing w:val="-5"/>
          <w:sz w:val="28"/>
        </w:rPr>
        <w:t>各單位補助款撥入機關或學校專戶，填具「預付費用及暫付款款項轉</w:t>
      </w:r>
      <w:r>
        <w:rPr>
          <w:spacing w:val="-37"/>
          <w:sz w:val="28"/>
        </w:rPr>
        <w:t>正會辦單」</w:t>
      </w:r>
      <w:r>
        <w:rPr>
          <w:spacing w:val="-4"/>
          <w:sz w:val="28"/>
        </w:rPr>
        <w:t>（附表二</w:t>
      </w:r>
      <w:r>
        <w:rPr>
          <w:spacing w:val="-154"/>
          <w:sz w:val="28"/>
        </w:rPr>
        <w:t>）</w:t>
      </w:r>
      <w:r>
        <w:rPr>
          <w:spacing w:val="-7"/>
          <w:sz w:val="28"/>
        </w:rPr>
        <w:t>，並檢附原預</w:t>
      </w:r>
      <w:r>
        <w:rPr>
          <w:spacing w:val="-4"/>
          <w:sz w:val="28"/>
        </w:rPr>
        <w:t>（暫）付申請表、相關支出憑證等</w:t>
      </w:r>
      <w:r>
        <w:rPr>
          <w:spacing w:val="-2"/>
          <w:sz w:val="28"/>
        </w:rPr>
        <w:t>資料辦理核銷轉正。</w:t>
      </w:r>
    </w:p>
    <w:p>
      <w:pPr>
        <w:pStyle w:val="BodyText"/>
        <w:spacing w:line="377" w:lineRule="exact"/>
        <w:ind w:left="390"/>
      </w:pPr>
      <w:r>
        <w:rPr>
          <w:spacing w:val="-2"/>
        </w:rPr>
        <w:t>（二）</w:t>
      </w:r>
      <w:r>
        <w:rPr>
          <w:spacing w:val="-4"/>
        </w:rPr>
        <w:t>金額一萬元以下：</w:t>
      </w:r>
    </w:p>
    <w:p>
      <w:pPr>
        <w:pStyle w:val="BodyText"/>
        <w:spacing w:line="232" w:lineRule="auto" w:before="2"/>
        <w:ind w:left="1069" w:right="108"/>
        <w:jc w:val="both"/>
      </w:pPr>
      <w:r>
        <w:rPr>
          <w:spacing w:val="-2"/>
        </w:rPr>
        <w:t>依出納管理手冊規定第二十四點規定，各單位因業務需要等，經其單位主管及主辦出納或其授權人核准，向出納管理人員借款備付，應自借款當日起算三日內檢附支出憑證辦理核銷；情況特殊無法及時辦理核銷者，應敘明具體事由並訂定核銷期限，依分層負責程序簽准後依限辦理。上開借款以預算所列之零星支出、支用委辦或補助核定計畫支用範圍內為限，不得移作他用，其每筆支付最高限額為新臺幣一萬元。</w:t>
      </w:r>
    </w:p>
    <w:p>
      <w:pPr>
        <w:pStyle w:val="BodyText"/>
        <w:spacing w:line="232" w:lineRule="auto" w:before="1"/>
        <w:ind w:left="829" w:right="113" w:hanging="720"/>
        <w:jc w:val="both"/>
      </w:pPr>
      <w:r>
        <w:rPr>
          <w:spacing w:val="-9"/>
        </w:rPr>
        <w:t>三、 預</w:t>
      </w:r>
      <w:r>
        <w:rPr/>
        <w:t>（暫）付款項應隨時注意清理，計畫業務辦理完竣後，應儘速檢附支出憑</w:t>
      </w:r>
      <w:r>
        <w:rPr>
          <w:spacing w:val="-2"/>
        </w:rPr>
        <w:t>證辦理報支。倘有久懸未報支、未清理或未及時辦理應付或保留，致經費無</w:t>
      </w:r>
      <w:r>
        <w:rPr>
          <w:spacing w:val="-13"/>
        </w:rPr>
        <w:t>法轉正或無法收回者，應由預</w:t>
      </w:r>
      <w:r>
        <w:rPr>
          <w:spacing w:val="-6"/>
        </w:rPr>
        <w:t>（暫</w:t>
      </w:r>
      <w:r>
        <w:rPr>
          <w:spacing w:val="-92"/>
        </w:rPr>
        <w:t>）</w:t>
      </w:r>
      <w:r>
        <w:rPr>
          <w:spacing w:val="-7"/>
        </w:rPr>
        <w:t>付款項單位主管及相關人員負賠償之責。</w:t>
      </w:r>
    </w:p>
    <w:p>
      <w:pPr>
        <w:pStyle w:val="BodyText"/>
        <w:spacing w:line="379" w:lineRule="exact"/>
        <w:ind w:left="109"/>
        <w:jc w:val="both"/>
      </w:pPr>
      <w:r>
        <w:rPr>
          <w:spacing w:val="-3"/>
        </w:rPr>
        <w:t>四、 預</w:t>
      </w:r>
      <w:r>
        <w:rPr/>
        <w:t>（暫）</w:t>
      </w:r>
      <w:r>
        <w:rPr>
          <w:spacing w:val="-1"/>
        </w:rPr>
        <w:t>付款項承辦人員離職，應列入移交，未列入移交者，一律由預</w:t>
      </w:r>
    </w:p>
    <w:p>
      <w:pPr>
        <w:pStyle w:val="BodyText"/>
        <w:spacing w:line="380" w:lineRule="exact"/>
        <w:ind w:left="829"/>
      </w:pPr>
      <w:r>
        <w:rPr>
          <w:spacing w:val="-2"/>
        </w:rPr>
        <w:t>（暫）</w:t>
      </w:r>
      <w:r>
        <w:rPr>
          <w:spacing w:val="-3"/>
        </w:rPr>
        <w:t>付款項單位主管及相關人員負連帶財務責任。</w:t>
      </w:r>
    </w:p>
    <w:p>
      <w:pPr>
        <w:pStyle w:val="BodyText"/>
        <w:spacing w:line="232" w:lineRule="auto" w:before="2"/>
        <w:ind w:left="828" w:right="114" w:hanging="720"/>
        <w:jc w:val="both"/>
      </w:pPr>
      <w:r>
        <w:rPr>
          <w:spacing w:val="-6"/>
        </w:rPr>
        <w:t>五、 各單位應依本注意要點辦理預</w:t>
      </w:r>
      <w:r>
        <w:rPr/>
        <w:t>（暫）付款項借支，不得要求由承辦人墊支經</w:t>
      </w:r>
      <w:r>
        <w:rPr>
          <w:spacing w:val="-2"/>
        </w:rPr>
        <w:t>費。未依規定辦理借支程序而延遲撥付經費，致影響相關人員權益經查核屬實者，將追究相關人員責任。</w:t>
      </w:r>
    </w:p>
    <w:p>
      <w:pPr>
        <w:spacing w:after="0" w:line="232" w:lineRule="auto"/>
        <w:jc w:val="both"/>
        <w:sectPr>
          <w:type w:val="continuous"/>
          <w:pgSz w:w="11910" w:h="16840"/>
          <w:pgMar w:top="900" w:bottom="280" w:left="1020" w:right="740"/>
        </w:sectPr>
      </w:pPr>
    </w:p>
    <w:p>
      <w:pPr>
        <w:pStyle w:val="BodyText"/>
        <w:ind w:left="580"/>
        <w:rPr>
          <w:sz w:val="20"/>
        </w:rPr>
      </w:pPr>
      <w:r>
        <w:rPr>
          <w:sz w:val="20"/>
        </w:rPr>
        <mc:AlternateContent>
          <mc:Choice Requires="wps">
            <w:drawing>
              <wp:inline distT="0" distB="0" distL="0" distR="0">
                <wp:extent cx="760730" cy="328930"/>
                <wp:effectExtent l="9525" t="0" r="1270" b="13970"/>
                <wp:docPr id="1" name="Textbox 1"/>
                <wp:cNvGraphicFramePr>
                  <a:graphicFrameLocks/>
                </wp:cNvGraphicFramePr>
                <a:graphic>
                  <a:graphicData uri="http://schemas.microsoft.com/office/word/2010/wordprocessingShape">
                    <wps:wsp>
                      <wps:cNvPr id="1" name="Textbox 1"/>
                      <wps:cNvSpPr txBox="1"/>
                      <wps:spPr>
                        <a:xfrm>
                          <a:off x="0" y="0"/>
                          <a:ext cx="760730" cy="328930"/>
                        </a:xfrm>
                        <a:prstGeom prst="rect">
                          <a:avLst/>
                        </a:prstGeom>
                        <a:ln w="9525">
                          <a:solidFill>
                            <a:srgbClr val="000000"/>
                          </a:solidFill>
                          <a:prstDash val="solid"/>
                        </a:ln>
                      </wps:spPr>
                      <wps:txbx>
                        <w:txbxContent>
                          <w:p>
                            <w:pPr>
                              <w:spacing w:before="84"/>
                              <w:ind w:left="143" w:right="0" w:firstLine="0"/>
                              <w:jc w:val="left"/>
                              <w:rPr>
                                <w:sz w:val="24"/>
                              </w:rPr>
                            </w:pPr>
                            <w:r>
                              <w:rPr>
                                <w:spacing w:val="-7"/>
                                <w:sz w:val="24"/>
                              </w:rPr>
                              <w:t>附表一</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59.9pt;height:25.9pt;mso-position-horizontal-relative:char;mso-position-vertical-relative:line" type="#_x0000_t202" id="docshape1" filled="false" stroked="true" strokeweight=".75pt" strokecolor="#000000">
                <w10:anchorlock/>
                <v:textbox inset="0,0,0,0">
                  <w:txbxContent>
                    <w:p>
                      <w:pPr>
                        <w:spacing w:before="84"/>
                        <w:ind w:left="143" w:right="0" w:firstLine="0"/>
                        <w:jc w:val="left"/>
                        <w:rPr>
                          <w:sz w:val="24"/>
                        </w:rPr>
                      </w:pPr>
                      <w:r>
                        <w:rPr>
                          <w:spacing w:val="-7"/>
                          <w:sz w:val="24"/>
                        </w:rPr>
                        <w:t>附表一</w:t>
                      </w:r>
                    </w:p>
                  </w:txbxContent>
                </v:textbox>
                <v:stroke dashstyle="solid"/>
              </v:shape>
            </w:pict>
          </mc:Fallback>
        </mc:AlternateContent>
      </w:r>
      <w:r>
        <w:rPr>
          <w:sz w:val="20"/>
        </w:rPr>
      </w:r>
    </w:p>
    <w:p>
      <w:pPr>
        <w:pStyle w:val="Heading1"/>
        <w:spacing w:line="448" w:lineRule="exact"/>
      </w:pPr>
      <w:r>
        <w:rPr/>
        <mc:AlternateContent>
          <mc:Choice Requires="wps">
            <w:drawing>
              <wp:anchor distT="0" distB="0" distL="0" distR="0" allowOverlap="1" layoutInCell="1" locked="0" behindDoc="0" simplePos="0" relativeHeight="15729152">
                <wp:simplePos x="0" y="0"/>
                <wp:positionH relativeFrom="page">
                  <wp:posOffset>6297295</wp:posOffset>
                </wp:positionH>
                <wp:positionV relativeFrom="paragraph">
                  <wp:posOffset>-122809</wp:posOffset>
                </wp:positionV>
                <wp:extent cx="635000" cy="489584"/>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635000" cy="489584"/>
                        </a:xfrm>
                        <a:prstGeom prst="rect">
                          <a:avLst/>
                        </a:prstGeom>
                        <a:ln w="9525">
                          <a:solidFill>
                            <a:srgbClr val="000000"/>
                          </a:solidFill>
                          <a:prstDash val="solid"/>
                        </a:ln>
                      </wps:spPr>
                      <wps:txbx>
                        <w:txbxContent>
                          <w:p>
                            <w:pPr>
                              <w:spacing w:before="207"/>
                              <w:ind w:left="143" w:right="0" w:firstLine="0"/>
                              <w:jc w:val="left"/>
                              <w:rPr>
                                <w:sz w:val="32"/>
                              </w:rPr>
                            </w:pPr>
                            <w:r>
                              <w:rPr>
                                <w:spacing w:val="-6"/>
                                <w:sz w:val="32"/>
                              </w:rPr>
                              <w:t>範例</w:t>
                            </w:r>
                          </w:p>
                        </w:txbxContent>
                      </wps:txbx>
                      <wps:bodyPr wrap="square" lIns="0" tIns="0" rIns="0" bIns="0" rtlCol="0">
                        <a:noAutofit/>
                      </wps:bodyPr>
                    </wps:wsp>
                  </a:graphicData>
                </a:graphic>
              </wp:anchor>
            </w:drawing>
          </mc:Choice>
          <mc:Fallback>
            <w:pict>
              <v:shape style="position:absolute;margin-left:495.850006pt;margin-top:-9.67pt;width:50pt;height:38.550pt;mso-position-horizontal-relative:page;mso-position-vertical-relative:paragraph;z-index:15729152" type="#_x0000_t202" id="docshape2" filled="false" stroked="true" strokeweight=".75pt" strokecolor="#000000">
                <v:textbox inset="0,0,0,0">
                  <w:txbxContent>
                    <w:p>
                      <w:pPr>
                        <w:spacing w:before="207"/>
                        <w:ind w:left="143" w:right="0" w:firstLine="0"/>
                        <w:jc w:val="left"/>
                        <w:rPr>
                          <w:sz w:val="32"/>
                        </w:rPr>
                      </w:pPr>
                      <w:r>
                        <w:rPr>
                          <w:spacing w:val="-6"/>
                          <w:sz w:val="32"/>
                        </w:rPr>
                        <w:t>範例</w:t>
                      </w:r>
                    </w:p>
                  </w:txbxContent>
                </v:textbox>
                <v:stroke dashstyle="solid"/>
                <w10:wrap type="none"/>
              </v:shape>
            </w:pict>
          </mc:Fallback>
        </mc:AlternateContent>
      </w:r>
      <w:r>
        <w:rPr>
          <w:spacing w:val="-3"/>
        </w:rPr>
        <w:t>預付費用及暫付款款項申請表</w:t>
      </w:r>
    </w:p>
    <w:p>
      <w:pPr>
        <w:pStyle w:val="BodyText"/>
        <w:tabs>
          <w:tab w:pos="4204" w:val="left" w:leader="none"/>
          <w:tab w:pos="5184" w:val="left" w:leader="none"/>
        </w:tabs>
        <w:spacing w:before="242"/>
        <w:ind w:left="3364"/>
      </w:pPr>
      <w:r>
        <w:rPr>
          <w:spacing w:val="-10"/>
        </w:rPr>
        <w:t>年</w:t>
      </w:r>
      <w:r>
        <w:rPr/>
        <w:tab/>
      </w:r>
      <w:r>
        <w:rPr>
          <w:spacing w:val="-10"/>
        </w:rPr>
        <w:t>月</w:t>
      </w:r>
      <w:r>
        <w:rPr/>
        <w:tab/>
      </w:r>
      <w:r>
        <w:rPr>
          <w:spacing w:val="-10"/>
        </w:rPr>
        <w:t>日</w:t>
      </w:r>
    </w:p>
    <w:p>
      <w:pPr>
        <w:pStyle w:val="BodyText"/>
        <w:spacing w:before="10" w:after="1"/>
        <w:rPr>
          <w:sz w:val="11"/>
        </w:rPr>
      </w:pPr>
    </w:p>
    <w:tbl>
      <w:tblPr>
        <w:tblW w:w="0" w:type="auto"/>
        <w:jc w:val="left"/>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6"/>
        <w:gridCol w:w="3969"/>
        <w:gridCol w:w="3403"/>
      </w:tblGrid>
      <w:tr>
        <w:trPr>
          <w:trHeight w:val="719" w:hRule="atLeast"/>
        </w:trPr>
        <w:tc>
          <w:tcPr>
            <w:tcW w:w="9918" w:type="dxa"/>
            <w:gridSpan w:val="3"/>
            <w:tcBorders>
              <w:bottom w:val="single" w:sz="8" w:space="0" w:color="000000"/>
            </w:tcBorders>
          </w:tcPr>
          <w:p>
            <w:pPr>
              <w:pStyle w:val="TableParagraph"/>
              <w:spacing w:before="164"/>
              <w:ind w:left="23"/>
              <w:rPr>
                <w:b/>
                <w:sz w:val="28"/>
              </w:rPr>
            </w:pPr>
            <w:r>
              <w:rPr>
                <w:b/>
                <w:spacing w:val="-4"/>
                <w:sz w:val="28"/>
              </w:rPr>
              <w:t>單位:</w:t>
            </w:r>
          </w:p>
        </w:tc>
      </w:tr>
      <w:tr>
        <w:trPr>
          <w:trHeight w:val="719" w:hRule="atLeast"/>
        </w:trPr>
        <w:tc>
          <w:tcPr>
            <w:tcW w:w="6515" w:type="dxa"/>
            <w:gridSpan w:val="2"/>
            <w:tcBorders>
              <w:top w:val="single" w:sz="8" w:space="0" w:color="000000"/>
            </w:tcBorders>
          </w:tcPr>
          <w:p>
            <w:pPr>
              <w:pStyle w:val="TableParagraph"/>
              <w:spacing w:before="163"/>
              <w:ind w:left="2479" w:right="2466"/>
              <w:jc w:val="center"/>
              <w:rPr>
                <w:sz w:val="28"/>
              </w:rPr>
            </w:pPr>
            <w:r>
              <w:rPr>
                <w:spacing w:val="-3"/>
                <w:sz w:val="28"/>
              </w:rPr>
              <w:t>動 支 事 由</w:t>
            </w:r>
          </w:p>
        </w:tc>
        <w:tc>
          <w:tcPr>
            <w:tcW w:w="3403" w:type="dxa"/>
            <w:tcBorders>
              <w:top w:val="single" w:sz="8" w:space="0" w:color="000000"/>
            </w:tcBorders>
          </w:tcPr>
          <w:p>
            <w:pPr>
              <w:pStyle w:val="TableParagraph"/>
              <w:spacing w:before="163"/>
              <w:ind w:left="1407" w:right="1395"/>
              <w:jc w:val="center"/>
              <w:rPr>
                <w:sz w:val="28"/>
              </w:rPr>
            </w:pPr>
            <w:r>
              <w:rPr>
                <w:spacing w:val="-5"/>
                <w:sz w:val="28"/>
              </w:rPr>
              <w:t>金額</w:t>
            </w:r>
          </w:p>
        </w:tc>
      </w:tr>
      <w:tr>
        <w:trPr>
          <w:trHeight w:val="933" w:hRule="atLeast"/>
        </w:trPr>
        <w:tc>
          <w:tcPr>
            <w:tcW w:w="6515" w:type="dxa"/>
            <w:gridSpan w:val="2"/>
          </w:tcPr>
          <w:p>
            <w:pPr>
              <w:pStyle w:val="TableParagraph"/>
              <w:rPr>
                <w:rFonts w:ascii="Times New Roman"/>
                <w:sz w:val="28"/>
              </w:rPr>
            </w:pPr>
          </w:p>
        </w:tc>
        <w:tc>
          <w:tcPr>
            <w:tcW w:w="3403" w:type="dxa"/>
          </w:tcPr>
          <w:p>
            <w:pPr>
              <w:pStyle w:val="TableParagraph"/>
              <w:rPr>
                <w:rFonts w:ascii="Times New Roman"/>
                <w:sz w:val="28"/>
              </w:rPr>
            </w:pPr>
          </w:p>
        </w:tc>
      </w:tr>
      <w:tr>
        <w:trPr>
          <w:trHeight w:val="2238" w:hRule="atLeast"/>
        </w:trPr>
        <w:tc>
          <w:tcPr>
            <w:tcW w:w="2546" w:type="dxa"/>
          </w:tcPr>
          <w:p>
            <w:pPr>
              <w:pStyle w:val="TableParagraph"/>
              <w:rPr>
                <w:sz w:val="28"/>
              </w:rPr>
            </w:pPr>
          </w:p>
          <w:p>
            <w:pPr>
              <w:pStyle w:val="TableParagraph"/>
              <w:spacing w:before="1"/>
              <w:rPr>
                <w:sz w:val="38"/>
              </w:rPr>
            </w:pPr>
          </w:p>
          <w:p>
            <w:pPr>
              <w:pStyle w:val="TableParagraph"/>
              <w:ind w:left="141" w:right="129"/>
              <w:jc w:val="center"/>
              <w:rPr>
                <w:sz w:val="28"/>
              </w:rPr>
            </w:pPr>
            <w:r>
              <w:rPr>
                <w:spacing w:val="-3"/>
                <w:sz w:val="28"/>
              </w:rPr>
              <w:t>經 費 來 源</w:t>
            </w:r>
          </w:p>
        </w:tc>
        <w:tc>
          <w:tcPr>
            <w:tcW w:w="7372" w:type="dxa"/>
            <w:gridSpan w:val="2"/>
          </w:tcPr>
          <w:p>
            <w:pPr>
              <w:pStyle w:val="TableParagraph"/>
              <w:spacing w:before="166"/>
              <w:ind w:left="110"/>
              <w:rPr>
                <w:sz w:val="28"/>
              </w:rPr>
            </w:pPr>
            <w:r>
              <w:rPr>
                <w:sz w:val="28"/>
              </w:rPr>
              <w:t>□基金預算:1154</w:t>
            </w:r>
            <w:r>
              <w:rPr>
                <w:spacing w:val="-16"/>
                <w:sz w:val="28"/>
              </w:rPr>
              <w:t> 預算費用</w:t>
            </w:r>
            <w:r>
              <w:rPr>
                <w:spacing w:val="57"/>
                <w:w w:val="150"/>
                <w:sz w:val="28"/>
              </w:rPr>
              <w:t> </w:t>
            </w:r>
            <w:r>
              <w:rPr>
                <w:spacing w:val="-2"/>
                <w:sz w:val="28"/>
              </w:rPr>
              <w:t>子目代號:</w:t>
            </w:r>
          </w:p>
          <w:p>
            <w:pPr>
              <w:pStyle w:val="TableParagraph"/>
              <w:spacing w:before="6"/>
              <w:rPr>
                <w:sz w:val="23"/>
              </w:rPr>
            </w:pPr>
          </w:p>
          <w:p>
            <w:pPr>
              <w:pStyle w:val="TableParagraph"/>
              <w:tabs>
                <w:tab w:pos="3681" w:val="left" w:leader="none"/>
              </w:tabs>
              <w:spacing w:before="1"/>
              <w:ind w:left="110"/>
              <w:rPr>
                <w:sz w:val="28"/>
              </w:rPr>
            </w:pPr>
            <w:r>
              <w:rPr>
                <w:spacing w:val="-2"/>
                <w:sz w:val="28"/>
              </w:rPr>
              <w:t>□代辦經費:1315</w:t>
            </w:r>
            <w:r>
              <w:rPr>
                <w:spacing w:val="-56"/>
                <w:sz w:val="28"/>
              </w:rPr>
              <w:t> </w:t>
            </w:r>
            <w:r>
              <w:rPr>
                <w:spacing w:val="-2"/>
                <w:sz w:val="28"/>
              </w:rPr>
              <w:t>暫付</w:t>
            </w:r>
            <w:r>
              <w:rPr>
                <w:spacing w:val="-10"/>
                <w:sz w:val="28"/>
              </w:rPr>
              <w:t>款</w:t>
            </w:r>
            <w:r>
              <w:rPr>
                <w:sz w:val="28"/>
              </w:rPr>
              <w:tab/>
            </w:r>
            <w:r>
              <w:rPr>
                <w:spacing w:val="-2"/>
                <w:sz w:val="28"/>
              </w:rPr>
              <w:t>子目代號</w:t>
            </w:r>
            <w:r>
              <w:rPr>
                <w:spacing w:val="-10"/>
                <w:sz w:val="28"/>
              </w:rPr>
              <w:t>:</w:t>
            </w:r>
          </w:p>
          <w:p>
            <w:pPr>
              <w:pStyle w:val="TableParagraph"/>
              <w:spacing w:before="6"/>
              <w:rPr>
                <w:sz w:val="23"/>
              </w:rPr>
            </w:pPr>
          </w:p>
          <w:p>
            <w:pPr>
              <w:pStyle w:val="TableParagraph"/>
              <w:ind w:left="110"/>
              <w:rPr>
                <w:sz w:val="28"/>
              </w:rPr>
            </w:pPr>
            <w:r>
              <w:rPr>
                <w:spacing w:val="-4"/>
                <w:sz w:val="28"/>
              </w:rPr>
              <w:t>□其他</w:t>
            </w:r>
          </w:p>
        </w:tc>
      </w:tr>
      <w:tr>
        <w:trPr>
          <w:trHeight w:val="2258" w:hRule="atLeast"/>
        </w:trPr>
        <w:tc>
          <w:tcPr>
            <w:tcW w:w="2546" w:type="dxa"/>
          </w:tcPr>
          <w:p>
            <w:pPr>
              <w:pStyle w:val="TableParagraph"/>
              <w:rPr>
                <w:sz w:val="28"/>
              </w:rPr>
            </w:pPr>
          </w:p>
          <w:p>
            <w:pPr>
              <w:pStyle w:val="TableParagraph"/>
              <w:spacing w:before="11"/>
              <w:rPr>
                <w:sz w:val="38"/>
              </w:rPr>
            </w:pPr>
          </w:p>
          <w:p>
            <w:pPr>
              <w:pStyle w:val="TableParagraph"/>
              <w:ind w:left="146" w:right="129"/>
              <w:jc w:val="center"/>
              <w:rPr>
                <w:sz w:val="28"/>
              </w:rPr>
            </w:pPr>
            <w:r>
              <w:rPr>
                <w:spacing w:val="-2"/>
                <w:sz w:val="28"/>
              </w:rPr>
              <w:t>預 計 核 銷日 期</w:t>
            </w:r>
          </w:p>
        </w:tc>
        <w:tc>
          <w:tcPr>
            <w:tcW w:w="7372" w:type="dxa"/>
            <w:gridSpan w:val="2"/>
          </w:tcPr>
          <w:p>
            <w:pPr>
              <w:pStyle w:val="TableParagraph"/>
              <w:rPr>
                <w:sz w:val="28"/>
              </w:rPr>
            </w:pPr>
          </w:p>
          <w:p>
            <w:pPr>
              <w:pStyle w:val="TableParagraph"/>
              <w:spacing w:before="11"/>
              <w:rPr>
                <w:sz w:val="38"/>
              </w:rPr>
            </w:pPr>
          </w:p>
          <w:p>
            <w:pPr>
              <w:pStyle w:val="TableParagraph"/>
              <w:tabs>
                <w:tab w:pos="993" w:val="left" w:leader="none"/>
                <w:tab w:pos="1833" w:val="left" w:leader="none"/>
              </w:tabs>
              <w:ind w:left="14"/>
              <w:jc w:val="center"/>
              <w:rPr>
                <w:sz w:val="28"/>
              </w:rPr>
            </w:pPr>
            <w:r>
              <w:rPr>
                <w:spacing w:val="-10"/>
                <w:sz w:val="28"/>
              </w:rPr>
              <w:t>年</w:t>
            </w:r>
            <w:r>
              <w:rPr>
                <w:sz w:val="28"/>
              </w:rPr>
              <w:tab/>
            </w:r>
            <w:r>
              <w:rPr>
                <w:spacing w:val="-10"/>
                <w:sz w:val="28"/>
              </w:rPr>
              <w:t>月</w:t>
            </w:r>
            <w:r>
              <w:rPr>
                <w:sz w:val="28"/>
              </w:rPr>
              <w:tab/>
            </w:r>
            <w:r>
              <w:rPr>
                <w:spacing w:val="-2"/>
                <w:sz w:val="28"/>
              </w:rPr>
              <w:t>日前檢附相關憑證辦理核</w:t>
            </w:r>
            <w:r>
              <w:rPr>
                <w:spacing w:val="-10"/>
                <w:sz w:val="28"/>
              </w:rPr>
              <w:t>銷</w:t>
            </w:r>
          </w:p>
        </w:tc>
      </w:tr>
      <w:tr>
        <w:trPr>
          <w:trHeight w:val="1312" w:hRule="atLeast"/>
        </w:trPr>
        <w:tc>
          <w:tcPr>
            <w:tcW w:w="2546" w:type="dxa"/>
          </w:tcPr>
          <w:p>
            <w:pPr>
              <w:pStyle w:val="TableParagraph"/>
              <w:spacing w:before="11"/>
              <w:rPr>
                <w:sz w:val="32"/>
              </w:rPr>
            </w:pPr>
          </w:p>
          <w:p>
            <w:pPr>
              <w:pStyle w:val="TableParagraph"/>
              <w:ind w:left="146" w:right="129"/>
              <w:jc w:val="center"/>
              <w:rPr>
                <w:sz w:val="28"/>
              </w:rPr>
            </w:pPr>
            <w:r>
              <w:rPr>
                <w:spacing w:val="-3"/>
                <w:sz w:val="28"/>
              </w:rPr>
              <w:t>預借人員</w:t>
            </w:r>
          </w:p>
        </w:tc>
        <w:tc>
          <w:tcPr>
            <w:tcW w:w="7372" w:type="dxa"/>
            <w:gridSpan w:val="2"/>
          </w:tcPr>
          <w:p>
            <w:pPr>
              <w:pStyle w:val="TableParagraph"/>
              <w:rPr>
                <w:rFonts w:ascii="Times New Roman"/>
                <w:sz w:val="28"/>
              </w:rPr>
            </w:pPr>
          </w:p>
        </w:tc>
      </w:tr>
    </w:tbl>
    <w:p>
      <w:pPr>
        <w:tabs>
          <w:tab w:pos="2351" w:val="left" w:leader="none"/>
          <w:tab w:pos="4871" w:val="left" w:leader="none"/>
          <w:tab w:pos="8231" w:val="left" w:leader="none"/>
        </w:tabs>
        <w:spacing w:line="566" w:lineRule="auto" w:before="166"/>
        <w:ind w:left="112" w:right="794" w:firstLine="0"/>
        <w:jc w:val="left"/>
        <w:rPr>
          <w:b/>
          <w:sz w:val="28"/>
        </w:rPr>
      </w:pPr>
      <w:r>
        <w:rPr>
          <w:spacing w:val="-4"/>
          <w:sz w:val="28"/>
        </w:rPr>
        <w:t>經辦人</w:t>
      </w:r>
      <w:r>
        <w:rPr>
          <w:sz w:val="28"/>
        </w:rPr>
        <w:tab/>
      </w:r>
      <w:r>
        <w:rPr>
          <w:spacing w:val="-4"/>
          <w:sz w:val="28"/>
        </w:rPr>
        <w:t>單位主管</w:t>
      </w:r>
      <w:r>
        <w:rPr>
          <w:sz w:val="28"/>
        </w:rPr>
        <w:tab/>
      </w:r>
      <w:r>
        <w:rPr>
          <w:spacing w:val="-4"/>
          <w:sz w:val="28"/>
        </w:rPr>
        <w:t>會計主任</w:t>
      </w:r>
      <w:r>
        <w:rPr>
          <w:sz w:val="28"/>
        </w:rPr>
        <w:tab/>
      </w:r>
      <w:r>
        <w:rPr>
          <w:spacing w:val="-4"/>
          <w:sz w:val="28"/>
        </w:rPr>
        <w:t>機關首</w:t>
      </w:r>
      <w:r>
        <w:rPr>
          <w:spacing w:val="-4"/>
          <w:sz w:val="28"/>
        </w:rPr>
        <w:t>長</w:t>
      </w:r>
      <w:r>
        <w:rPr>
          <w:b/>
          <w:spacing w:val="-2"/>
          <w:sz w:val="28"/>
        </w:rPr>
        <w:t>附註:學校可依自訂格式辦理</w:t>
      </w:r>
    </w:p>
    <w:p>
      <w:pPr>
        <w:spacing w:after="0" w:line="566" w:lineRule="auto"/>
        <w:jc w:val="left"/>
        <w:rPr>
          <w:sz w:val="28"/>
        </w:rPr>
        <w:sectPr>
          <w:pgSz w:w="11910" w:h="16840"/>
          <w:pgMar w:top="940" w:bottom="280" w:left="1020" w:right="740"/>
        </w:sectPr>
      </w:pPr>
    </w:p>
    <w:p>
      <w:pPr>
        <w:pStyle w:val="BodyText"/>
        <w:spacing w:before="4"/>
        <w:rPr>
          <w:b/>
          <w:sz w:val="26"/>
        </w:rPr>
      </w:pPr>
    </w:p>
    <w:p>
      <w:pPr>
        <w:pStyle w:val="Heading1"/>
        <w:spacing w:before="21"/>
        <w:ind w:right="2120"/>
      </w:pPr>
      <w:r>
        <w:rPr/>
        <mc:AlternateContent>
          <mc:Choice Requires="wps">
            <w:drawing>
              <wp:anchor distT="0" distB="0" distL="0" distR="0" allowOverlap="1" layoutInCell="1" locked="0" behindDoc="0" simplePos="0" relativeHeight="15729664">
                <wp:simplePos x="0" y="0"/>
                <wp:positionH relativeFrom="page">
                  <wp:posOffset>6156959</wp:posOffset>
                </wp:positionH>
                <wp:positionV relativeFrom="paragraph">
                  <wp:posOffset>-207137</wp:posOffset>
                </wp:positionV>
                <wp:extent cx="762000" cy="58674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762000" cy="586740"/>
                        </a:xfrm>
                        <a:prstGeom prst="rect">
                          <a:avLst/>
                        </a:prstGeom>
                        <a:ln w="9525">
                          <a:solidFill>
                            <a:srgbClr val="000000"/>
                          </a:solidFill>
                          <a:prstDash val="solid"/>
                        </a:ln>
                      </wps:spPr>
                      <wps:txbx>
                        <w:txbxContent>
                          <w:p>
                            <w:pPr>
                              <w:spacing w:before="208"/>
                              <w:ind w:left="143" w:right="0" w:firstLine="0"/>
                              <w:jc w:val="left"/>
                              <w:rPr>
                                <w:sz w:val="32"/>
                              </w:rPr>
                            </w:pPr>
                            <w:r>
                              <w:rPr>
                                <w:spacing w:val="-6"/>
                                <w:sz w:val="32"/>
                              </w:rPr>
                              <w:t>範例</w:t>
                            </w:r>
                          </w:p>
                        </w:txbxContent>
                      </wps:txbx>
                      <wps:bodyPr wrap="square" lIns="0" tIns="0" rIns="0" bIns="0" rtlCol="0">
                        <a:noAutofit/>
                      </wps:bodyPr>
                    </wps:wsp>
                  </a:graphicData>
                </a:graphic>
              </wp:anchor>
            </w:drawing>
          </mc:Choice>
          <mc:Fallback>
            <w:pict>
              <v:shape style="position:absolute;margin-left:484.799988pt;margin-top:-16.310003pt;width:60pt;height:46.2pt;mso-position-horizontal-relative:page;mso-position-vertical-relative:paragraph;z-index:15729664" type="#_x0000_t202" id="docshape3" filled="false" stroked="true" strokeweight=".75pt" strokecolor="#000000">
                <v:textbox inset="0,0,0,0">
                  <w:txbxContent>
                    <w:p>
                      <w:pPr>
                        <w:spacing w:before="208"/>
                        <w:ind w:left="143" w:right="0" w:firstLine="0"/>
                        <w:jc w:val="left"/>
                        <w:rPr>
                          <w:sz w:val="32"/>
                        </w:rPr>
                      </w:pPr>
                      <w:r>
                        <w:rPr>
                          <w:spacing w:val="-6"/>
                          <w:sz w:val="32"/>
                        </w:rPr>
                        <w:t>範例</w:t>
                      </w:r>
                    </w:p>
                  </w:txbxContent>
                </v:textbox>
                <v:stroke dashstyle="solid"/>
                <w10:wrap type="none"/>
              </v:shape>
            </w:pict>
          </mc:Fallback>
        </mc:AlternateContent>
      </w:r>
      <w:r>
        <w:rPr/>
        <mc:AlternateContent>
          <mc:Choice Requires="wps">
            <w:drawing>
              <wp:anchor distT="0" distB="0" distL="0" distR="0" allowOverlap="1" layoutInCell="1" locked="0" behindDoc="0" simplePos="0" relativeHeight="15730176">
                <wp:simplePos x="0" y="0"/>
                <wp:positionH relativeFrom="page">
                  <wp:posOffset>742950</wp:posOffset>
                </wp:positionH>
                <wp:positionV relativeFrom="paragraph">
                  <wp:posOffset>-233807</wp:posOffset>
                </wp:positionV>
                <wp:extent cx="760730" cy="32893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760730" cy="328930"/>
                        </a:xfrm>
                        <a:prstGeom prst="rect">
                          <a:avLst/>
                        </a:prstGeom>
                        <a:ln w="9525">
                          <a:solidFill>
                            <a:srgbClr val="000000"/>
                          </a:solidFill>
                          <a:prstDash val="solid"/>
                        </a:ln>
                      </wps:spPr>
                      <wps:txbx>
                        <w:txbxContent>
                          <w:p>
                            <w:pPr>
                              <w:spacing w:before="83"/>
                              <w:ind w:left="142" w:right="0" w:firstLine="0"/>
                              <w:jc w:val="left"/>
                              <w:rPr>
                                <w:sz w:val="24"/>
                              </w:rPr>
                            </w:pPr>
                            <w:r>
                              <w:rPr>
                                <w:spacing w:val="-4"/>
                                <w:sz w:val="24"/>
                              </w:rPr>
                              <w:t>附表二</w:t>
                            </w:r>
                          </w:p>
                        </w:txbxContent>
                      </wps:txbx>
                      <wps:bodyPr wrap="square" lIns="0" tIns="0" rIns="0" bIns="0" rtlCol="0">
                        <a:noAutofit/>
                      </wps:bodyPr>
                    </wps:wsp>
                  </a:graphicData>
                </a:graphic>
              </wp:anchor>
            </w:drawing>
          </mc:Choice>
          <mc:Fallback>
            <w:pict>
              <v:shape style="position:absolute;margin-left:58.5pt;margin-top:-18.410002pt;width:59.9pt;height:25.9pt;mso-position-horizontal-relative:page;mso-position-vertical-relative:paragraph;z-index:15730176" type="#_x0000_t202" id="docshape4" filled="false" stroked="true" strokeweight=".75pt" strokecolor="#000000">
                <v:textbox inset="0,0,0,0">
                  <w:txbxContent>
                    <w:p>
                      <w:pPr>
                        <w:spacing w:before="83"/>
                        <w:ind w:left="142" w:right="0" w:firstLine="0"/>
                        <w:jc w:val="left"/>
                        <w:rPr>
                          <w:sz w:val="24"/>
                        </w:rPr>
                      </w:pPr>
                      <w:r>
                        <w:rPr>
                          <w:spacing w:val="-4"/>
                          <w:sz w:val="24"/>
                        </w:rPr>
                        <w:t>附表二</w:t>
                      </w:r>
                    </w:p>
                  </w:txbxContent>
                </v:textbox>
                <v:stroke dashstyle="solid"/>
                <w10:wrap type="none"/>
              </v:shape>
            </w:pict>
          </mc:Fallback>
        </mc:AlternateContent>
      </w:r>
      <w:r>
        <w:rPr>
          <w:spacing w:val="-3"/>
        </w:rPr>
        <w:t>預付費用及暫付款款項轉正會辦單</w:t>
      </w:r>
    </w:p>
    <w:p>
      <w:pPr>
        <w:tabs>
          <w:tab w:pos="7312" w:val="left" w:leader="none"/>
          <w:tab w:pos="7912" w:val="left" w:leader="none"/>
        </w:tabs>
        <w:spacing w:before="90" w:after="13"/>
        <w:ind w:left="6592" w:right="0" w:firstLine="0"/>
        <w:jc w:val="left"/>
        <w:rPr>
          <w:sz w:val="24"/>
        </w:rPr>
      </w:pPr>
      <w:r>
        <w:rPr>
          <w:spacing w:val="-10"/>
          <w:sz w:val="24"/>
        </w:rPr>
        <w:t>年</w:t>
      </w:r>
      <w:r>
        <w:rPr>
          <w:sz w:val="24"/>
        </w:rPr>
        <w:tab/>
      </w:r>
      <w:r>
        <w:rPr>
          <w:spacing w:val="-10"/>
          <w:sz w:val="24"/>
        </w:rPr>
        <w:t>月</w:t>
      </w:r>
      <w:r>
        <w:rPr>
          <w:sz w:val="24"/>
        </w:rPr>
        <w:tab/>
      </w:r>
      <w:r>
        <w:rPr>
          <w:spacing w:val="-10"/>
          <w:sz w:val="24"/>
        </w:rPr>
        <w:t>日</w:t>
      </w:r>
    </w:p>
    <w:tbl>
      <w:tblPr>
        <w:tblW w:w="0" w:type="auto"/>
        <w:jc w:val="left"/>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48"/>
        <w:gridCol w:w="4860"/>
      </w:tblGrid>
      <w:tr>
        <w:trPr>
          <w:trHeight w:val="897" w:hRule="atLeast"/>
        </w:trPr>
        <w:tc>
          <w:tcPr>
            <w:tcW w:w="9108" w:type="dxa"/>
            <w:gridSpan w:val="2"/>
          </w:tcPr>
          <w:p>
            <w:pPr>
              <w:pStyle w:val="TableParagraph"/>
              <w:rPr>
                <w:sz w:val="18"/>
              </w:rPr>
            </w:pPr>
          </w:p>
          <w:p>
            <w:pPr>
              <w:pStyle w:val="TableParagraph"/>
              <w:spacing w:before="1"/>
              <w:ind w:left="110"/>
              <w:rPr>
                <w:sz w:val="28"/>
              </w:rPr>
            </w:pPr>
            <w:r>
              <w:rPr>
                <w:sz w:val="28"/>
              </w:rPr>
              <w:t>單</w:t>
            </w:r>
            <w:r>
              <w:rPr>
                <w:spacing w:val="68"/>
                <w:w w:val="150"/>
                <w:sz w:val="28"/>
              </w:rPr>
              <w:t> </w:t>
            </w:r>
            <w:r>
              <w:rPr>
                <w:spacing w:val="-5"/>
                <w:sz w:val="28"/>
              </w:rPr>
              <w:t>位：</w:t>
            </w:r>
          </w:p>
        </w:tc>
      </w:tr>
      <w:tr>
        <w:trPr>
          <w:trHeight w:val="866" w:hRule="atLeast"/>
        </w:trPr>
        <w:tc>
          <w:tcPr>
            <w:tcW w:w="9108" w:type="dxa"/>
            <w:gridSpan w:val="2"/>
          </w:tcPr>
          <w:p>
            <w:pPr>
              <w:pStyle w:val="TableParagraph"/>
              <w:spacing w:before="238"/>
              <w:ind w:left="110"/>
              <w:rPr>
                <w:sz w:val="28"/>
              </w:rPr>
            </w:pPr>
            <w:r>
              <w:rPr>
                <w:sz w:val="28"/>
              </w:rPr>
              <w:t>事</w:t>
            </w:r>
            <w:r>
              <w:rPr>
                <w:spacing w:val="68"/>
                <w:w w:val="150"/>
                <w:sz w:val="28"/>
              </w:rPr>
              <w:t> </w:t>
            </w:r>
            <w:r>
              <w:rPr>
                <w:spacing w:val="-5"/>
                <w:sz w:val="28"/>
              </w:rPr>
              <w:t>由：</w:t>
            </w:r>
          </w:p>
        </w:tc>
      </w:tr>
      <w:tr>
        <w:trPr>
          <w:trHeight w:val="1552" w:hRule="atLeast"/>
        </w:trPr>
        <w:tc>
          <w:tcPr>
            <w:tcW w:w="4248" w:type="dxa"/>
          </w:tcPr>
          <w:p>
            <w:pPr>
              <w:pStyle w:val="TableParagraph"/>
              <w:spacing w:before="221"/>
              <w:ind w:left="110"/>
              <w:rPr>
                <w:sz w:val="28"/>
              </w:rPr>
            </w:pPr>
            <w:r>
              <w:rPr>
                <w:spacing w:val="-3"/>
                <w:sz w:val="28"/>
              </w:rPr>
              <w:t>預(暫)付款科目(子目代號及名</w:t>
            </w:r>
          </w:p>
          <w:p>
            <w:pPr>
              <w:pStyle w:val="TableParagraph"/>
              <w:spacing w:before="7"/>
              <w:rPr>
                <w:sz w:val="23"/>
              </w:rPr>
            </w:pPr>
          </w:p>
          <w:p>
            <w:pPr>
              <w:pStyle w:val="TableParagraph"/>
              <w:ind w:left="110"/>
              <w:rPr>
                <w:sz w:val="28"/>
              </w:rPr>
            </w:pPr>
            <w:r>
              <w:rPr>
                <w:spacing w:val="-4"/>
                <w:sz w:val="28"/>
              </w:rPr>
              <w:t>稱):</w:t>
            </w:r>
          </w:p>
        </w:tc>
        <w:tc>
          <w:tcPr>
            <w:tcW w:w="4860" w:type="dxa"/>
          </w:tcPr>
          <w:p>
            <w:pPr>
              <w:pStyle w:val="TableParagraph"/>
              <w:rPr>
                <w:rFonts w:ascii="Times New Roman"/>
                <w:sz w:val="30"/>
              </w:rPr>
            </w:pPr>
          </w:p>
        </w:tc>
      </w:tr>
      <w:tr>
        <w:trPr>
          <w:trHeight w:val="1439" w:hRule="atLeast"/>
        </w:trPr>
        <w:tc>
          <w:tcPr>
            <w:tcW w:w="4248" w:type="dxa"/>
          </w:tcPr>
          <w:p>
            <w:pPr>
              <w:pStyle w:val="TableParagraph"/>
              <w:spacing w:before="6"/>
              <w:rPr>
                <w:sz w:val="37"/>
              </w:rPr>
            </w:pPr>
          </w:p>
          <w:p>
            <w:pPr>
              <w:pStyle w:val="TableParagraph"/>
              <w:ind w:left="125" w:right="220"/>
              <w:jc w:val="center"/>
              <w:rPr>
                <w:sz w:val="28"/>
              </w:rPr>
            </w:pPr>
            <w:r>
              <w:rPr>
                <w:spacing w:val="-4"/>
                <w:sz w:val="28"/>
              </w:rPr>
              <w:t>轉 正 科 目(子目代號及名稱):</w:t>
            </w:r>
          </w:p>
        </w:tc>
        <w:tc>
          <w:tcPr>
            <w:tcW w:w="4860" w:type="dxa"/>
          </w:tcPr>
          <w:p>
            <w:pPr>
              <w:pStyle w:val="TableParagraph"/>
              <w:rPr>
                <w:rFonts w:ascii="Times New Roman"/>
                <w:sz w:val="30"/>
              </w:rPr>
            </w:pPr>
          </w:p>
        </w:tc>
      </w:tr>
      <w:tr>
        <w:trPr>
          <w:trHeight w:val="1490" w:hRule="atLeast"/>
        </w:trPr>
        <w:tc>
          <w:tcPr>
            <w:tcW w:w="4248" w:type="dxa"/>
          </w:tcPr>
          <w:p>
            <w:pPr>
              <w:pStyle w:val="TableParagraph"/>
              <w:spacing w:before="4"/>
              <w:rPr>
                <w:sz w:val="39"/>
              </w:rPr>
            </w:pPr>
          </w:p>
          <w:p>
            <w:pPr>
              <w:pStyle w:val="TableParagraph"/>
              <w:spacing w:before="1"/>
              <w:ind w:left="125" w:right="111"/>
              <w:jc w:val="center"/>
              <w:rPr>
                <w:sz w:val="28"/>
              </w:rPr>
            </w:pPr>
            <w:r>
              <w:rPr>
                <w:spacing w:val="-3"/>
                <w:sz w:val="28"/>
              </w:rPr>
              <w:t>轉正金額</w:t>
            </w:r>
          </w:p>
        </w:tc>
        <w:tc>
          <w:tcPr>
            <w:tcW w:w="4860" w:type="dxa"/>
          </w:tcPr>
          <w:p>
            <w:pPr>
              <w:pStyle w:val="TableParagraph"/>
              <w:rPr>
                <w:rFonts w:ascii="Times New Roman"/>
                <w:sz w:val="30"/>
              </w:rPr>
            </w:pPr>
          </w:p>
        </w:tc>
      </w:tr>
      <w:tr>
        <w:trPr>
          <w:trHeight w:val="1504" w:hRule="atLeast"/>
        </w:trPr>
        <w:tc>
          <w:tcPr>
            <w:tcW w:w="9108" w:type="dxa"/>
            <w:gridSpan w:val="2"/>
          </w:tcPr>
          <w:p>
            <w:pPr>
              <w:pStyle w:val="TableParagraph"/>
              <w:spacing w:before="11"/>
              <w:rPr>
                <w:sz w:val="37"/>
              </w:rPr>
            </w:pPr>
          </w:p>
          <w:p>
            <w:pPr>
              <w:pStyle w:val="TableParagraph"/>
              <w:spacing w:before="1"/>
              <w:ind w:left="110"/>
              <w:rPr>
                <w:sz w:val="32"/>
              </w:rPr>
            </w:pPr>
            <w:r>
              <w:rPr>
                <w:spacing w:val="-5"/>
                <w:sz w:val="32"/>
              </w:rPr>
              <w:t>原付款憑單號碼:</w:t>
            </w:r>
          </w:p>
        </w:tc>
      </w:tr>
    </w:tbl>
    <w:p>
      <w:pPr>
        <w:pStyle w:val="BodyText"/>
        <w:spacing w:before="6"/>
        <w:rPr>
          <w:sz w:val="27"/>
        </w:rPr>
      </w:pPr>
    </w:p>
    <w:p>
      <w:pPr>
        <w:tabs>
          <w:tab w:pos="2351" w:val="left" w:leader="none"/>
          <w:tab w:pos="4871" w:val="left" w:leader="none"/>
          <w:tab w:pos="8231" w:val="left" w:leader="none"/>
        </w:tabs>
        <w:spacing w:line="614" w:lineRule="auto" w:before="0"/>
        <w:ind w:left="112" w:right="794" w:firstLine="0"/>
        <w:jc w:val="left"/>
        <w:rPr>
          <w:b/>
          <w:sz w:val="28"/>
        </w:rPr>
      </w:pPr>
      <w:r>
        <w:rPr>
          <w:spacing w:val="-4"/>
          <w:sz w:val="28"/>
        </w:rPr>
        <w:t>經辦人</w:t>
      </w:r>
      <w:r>
        <w:rPr>
          <w:sz w:val="28"/>
        </w:rPr>
        <w:tab/>
      </w:r>
      <w:r>
        <w:rPr>
          <w:spacing w:val="-4"/>
          <w:sz w:val="28"/>
        </w:rPr>
        <w:t>單位主管</w:t>
      </w:r>
      <w:r>
        <w:rPr>
          <w:sz w:val="28"/>
        </w:rPr>
        <w:tab/>
      </w:r>
      <w:r>
        <w:rPr>
          <w:spacing w:val="-4"/>
          <w:sz w:val="28"/>
        </w:rPr>
        <w:t>會計主任</w:t>
      </w:r>
      <w:r>
        <w:rPr>
          <w:sz w:val="28"/>
        </w:rPr>
        <w:tab/>
      </w:r>
      <w:r>
        <w:rPr>
          <w:spacing w:val="-4"/>
          <w:sz w:val="28"/>
        </w:rPr>
        <w:t>機關首</w:t>
      </w:r>
      <w:r>
        <w:rPr>
          <w:spacing w:val="-4"/>
          <w:sz w:val="28"/>
        </w:rPr>
        <w:t>長</w:t>
      </w:r>
      <w:r>
        <w:rPr>
          <w:b/>
          <w:spacing w:val="-2"/>
          <w:sz w:val="28"/>
        </w:rPr>
        <w:t>附註:學校可依自訂格式辦理</w:t>
      </w:r>
    </w:p>
    <w:sectPr>
      <w:pgSz w:w="11910" w:h="16840"/>
      <w:pgMar w:top="1000" w:bottom="280" w:left="102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標楷體">
    <w:altName w:val="標楷體"/>
    <w:charset w:val="88"/>
    <w:family w:val="script"/>
    <w:pitch w:val="fixed"/>
  </w:font>
  <w:font w:name="新細明體">
    <w:altName w:val="新細明體"/>
    <w:charset w:val="88"/>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771" w:hanging="719"/>
        <w:jc w:val="left"/>
      </w:pPr>
      <w:rPr>
        <w:rFonts w:hint="default" w:ascii="標楷體" w:hAnsi="標楷體" w:eastAsia="標楷體" w:cs="標楷體"/>
        <w:b w:val="0"/>
        <w:bCs w:val="0"/>
        <w:i w:val="0"/>
        <w:iCs w:val="0"/>
        <w:spacing w:val="-27"/>
        <w:w w:val="100"/>
        <w:sz w:val="26"/>
        <w:szCs w:val="26"/>
        <w:lang w:val="en-US" w:eastAsia="zh-TW" w:bidi="ar-SA"/>
      </w:rPr>
    </w:lvl>
    <w:lvl w:ilvl="1">
      <w:start w:val="0"/>
      <w:numFmt w:val="bullet"/>
      <w:lvlText w:val="•"/>
      <w:lvlJc w:val="left"/>
      <w:pPr>
        <w:ind w:left="2616" w:hanging="719"/>
      </w:pPr>
      <w:rPr>
        <w:rFonts w:hint="default"/>
        <w:lang w:val="en-US" w:eastAsia="zh-TW" w:bidi="ar-SA"/>
      </w:rPr>
    </w:lvl>
    <w:lvl w:ilvl="2">
      <w:start w:val="0"/>
      <w:numFmt w:val="bullet"/>
      <w:lvlText w:val="•"/>
      <w:lvlJc w:val="left"/>
      <w:pPr>
        <w:ind w:left="3453" w:hanging="719"/>
      </w:pPr>
      <w:rPr>
        <w:rFonts w:hint="default"/>
        <w:lang w:val="en-US" w:eastAsia="zh-TW" w:bidi="ar-SA"/>
      </w:rPr>
    </w:lvl>
    <w:lvl w:ilvl="3">
      <w:start w:val="0"/>
      <w:numFmt w:val="bullet"/>
      <w:lvlText w:val="•"/>
      <w:lvlJc w:val="left"/>
      <w:pPr>
        <w:ind w:left="4289" w:hanging="719"/>
      </w:pPr>
      <w:rPr>
        <w:rFonts w:hint="default"/>
        <w:lang w:val="en-US" w:eastAsia="zh-TW" w:bidi="ar-SA"/>
      </w:rPr>
    </w:lvl>
    <w:lvl w:ilvl="4">
      <w:start w:val="0"/>
      <w:numFmt w:val="bullet"/>
      <w:lvlText w:val="•"/>
      <w:lvlJc w:val="left"/>
      <w:pPr>
        <w:ind w:left="5126" w:hanging="719"/>
      </w:pPr>
      <w:rPr>
        <w:rFonts w:hint="default"/>
        <w:lang w:val="en-US" w:eastAsia="zh-TW" w:bidi="ar-SA"/>
      </w:rPr>
    </w:lvl>
    <w:lvl w:ilvl="5">
      <w:start w:val="0"/>
      <w:numFmt w:val="bullet"/>
      <w:lvlText w:val="•"/>
      <w:lvlJc w:val="left"/>
      <w:pPr>
        <w:ind w:left="5963" w:hanging="719"/>
      </w:pPr>
      <w:rPr>
        <w:rFonts w:hint="default"/>
        <w:lang w:val="en-US" w:eastAsia="zh-TW" w:bidi="ar-SA"/>
      </w:rPr>
    </w:lvl>
    <w:lvl w:ilvl="6">
      <w:start w:val="0"/>
      <w:numFmt w:val="bullet"/>
      <w:lvlText w:val="•"/>
      <w:lvlJc w:val="left"/>
      <w:pPr>
        <w:ind w:left="6799" w:hanging="719"/>
      </w:pPr>
      <w:rPr>
        <w:rFonts w:hint="default"/>
        <w:lang w:val="en-US" w:eastAsia="zh-TW" w:bidi="ar-SA"/>
      </w:rPr>
    </w:lvl>
    <w:lvl w:ilvl="7">
      <w:start w:val="0"/>
      <w:numFmt w:val="bullet"/>
      <w:lvlText w:val="•"/>
      <w:lvlJc w:val="left"/>
      <w:pPr>
        <w:ind w:left="7636" w:hanging="719"/>
      </w:pPr>
      <w:rPr>
        <w:rFonts w:hint="default"/>
        <w:lang w:val="en-US" w:eastAsia="zh-TW" w:bidi="ar-SA"/>
      </w:rPr>
    </w:lvl>
    <w:lvl w:ilvl="8">
      <w:start w:val="0"/>
      <w:numFmt w:val="bullet"/>
      <w:lvlText w:val="•"/>
      <w:lvlJc w:val="left"/>
      <w:pPr>
        <w:ind w:left="8473" w:hanging="719"/>
      </w:pPr>
      <w:rPr>
        <w:rFonts w:hint="default"/>
        <w:lang w:val="en-US" w:eastAsia="zh-TW" w:bidi="ar-SA"/>
      </w:rPr>
    </w:lvl>
  </w:abstractNum>
  <w:abstractNum w:abstractNumId="1">
    <w:multiLevelType w:val="hybridMultilevel"/>
    <w:lvl w:ilvl="0">
      <w:start w:val="1"/>
      <w:numFmt w:val="decimal"/>
      <w:lvlText w:val="（%1）"/>
      <w:lvlJc w:val="left"/>
      <w:pPr>
        <w:ind w:left="1790" w:hanging="719"/>
        <w:jc w:val="left"/>
      </w:pPr>
      <w:rPr>
        <w:rFonts w:hint="default" w:ascii="標楷體" w:hAnsi="標楷體" w:eastAsia="標楷體" w:cs="標楷體"/>
        <w:b w:val="0"/>
        <w:bCs w:val="0"/>
        <w:i w:val="0"/>
        <w:iCs w:val="0"/>
        <w:spacing w:val="-53"/>
        <w:w w:val="100"/>
        <w:sz w:val="26"/>
        <w:szCs w:val="26"/>
        <w:lang w:val="en-US" w:eastAsia="zh-TW" w:bidi="ar-SA"/>
      </w:rPr>
    </w:lvl>
    <w:lvl w:ilvl="1">
      <w:start w:val="0"/>
      <w:numFmt w:val="bullet"/>
      <w:lvlText w:val="•"/>
      <w:lvlJc w:val="left"/>
      <w:pPr>
        <w:ind w:left="2634" w:hanging="719"/>
      </w:pPr>
      <w:rPr>
        <w:rFonts w:hint="default"/>
        <w:lang w:val="en-US" w:eastAsia="zh-TW" w:bidi="ar-SA"/>
      </w:rPr>
    </w:lvl>
    <w:lvl w:ilvl="2">
      <w:start w:val="0"/>
      <w:numFmt w:val="bullet"/>
      <w:lvlText w:val="•"/>
      <w:lvlJc w:val="left"/>
      <w:pPr>
        <w:ind w:left="3469" w:hanging="719"/>
      </w:pPr>
      <w:rPr>
        <w:rFonts w:hint="default"/>
        <w:lang w:val="en-US" w:eastAsia="zh-TW" w:bidi="ar-SA"/>
      </w:rPr>
    </w:lvl>
    <w:lvl w:ilvl="3">
      <w:start w:val="0"/>
      <w:numFmt w:val="bullet"/>
      <w:lvlText w:val="•"/>
      <w:lvlJc w:val="left"/>
      <w:pPr>
        <w:ind w:left="4303" w:hanging="719"/>
      </w:pPr>
      <w:rPr>
        <w:rFonts w:hint="default"/>
        <w:lang w:val="en-US" w:eastAsia="zh-TW" w:bidi="ar-SA"/>
      </w:rPr>
    </w:lvl>
    <w:lvl w:ilvl="4">
      <w:start w:val="0"/>
      <w:numFmt w:val="bullet"/>
      <w:lvlText w:val="•"/>
      <w:lvlJc w:val="left"/>
      <w:pPr>
        <w:ind w:left="5138" w:hanging="719"/>
      </w:pPr>
      <w:rPr>
        <w:rFonts w:hint="default"/>
        <w:lang w:val="en-US" w:eastAsia="zh-TW" w:bidi="ar-SA"/>
      </w:rPr>
    </w:lvl>
    <w:lvl w:ilvl="5">
      <w:start w:val="0"/>
      <w:numFmt w:val="bullet"/>
      <w:lvlText w:val="•"/>
      <w:lvlJc w:val="left"/>
      <w:pPr>
        <w:ind w:left="5973" w:hanging="719"/>
      </w:pPr>
      <w:rPr>
        <w:rFonts w:hint="default"/>
        <w:lang w:val="en-US" w:eastAsia="zh-TW" w:bidi="ar-SA"/>
      </w:rPr>
    </w:lvl>
    <w:lvl w:ilvl="6">
      <w:start w:val="0"/>
      <w:numFmt w:val="bullet"/>
      <w:lvlText w:val="•"/>
      <w:lvlJc w:val="left"/>
      <w:pPr>
        <w:ind w:left="6807" w:hanging="719"/>
      </w:pPr>
      <w:rPr>
        <w:rFonts w:hint="default"/>
        <w:lang w:val="en-US" w:eastAsia="zh-TW" w:bidi="ar-SA"/>
      </w:rPr>
    </w:lvl>
    <w:lvl w:ilvl="7">
      <w:start w:val="0"/>
      <w:numFmt w:val="bullet"/>
      <w:lvlText w:val="•"/>
      <w:lvlJc w:val="left"/>
      <w:pPr>
        <w:ind w:left="7642" w:hanging="719"/>
      </w:pPr>
      <w:rPr>
        <w:rFonts w:hint="default"/>
        <w:lang w:val="en-US" w:eastAsia="zh-TW" w:bidi="ar-SA"/>
      </w:rPr>
    </w:lvl>
    <w:lvl w:ilvl="8">
      <w:start w:val="0"/>
      <w:numFmt w:val="bullet"/>
      <w:lvlText w:val="•"/>
      <w:lvlJc w:val="left"/>
      <w:pPr>
        <w:ind w:left="8477" w:hanging="719"/>
      </w:pPr>
      <w:rPr>
        <w:rFonts w:hint="default"/>
        <w:lang w:val="en-US" w:eastAsia="zh-TW" w:bidi="ar-SA"/>
      </w:rPr>
    </w:lvl>
  </w:abstractNum>
  <w:abstractNum w:abstractNumId="0">
    <w:multiLevelType w:val="hybridMultilevel"/>
    <w:lvl w:ilvl="0">
      <w:start w:val="1"/>
      <w:numFmt w:val="decimal"/>
      <w:lvlText w:val="%1."/>
      <w:lvlJc w:val="left"/>
      <w:pPr>
        <w:ind w:left="1306" w:hanging="236"/>
        <w:jc w:val="left"/>
      </w:pPr>
      <w:rPr>
        <w:rFonts w:hint="default" w:ascii="Arial" w:hAnsi="Arial" w:eastAsia="Arial" w:cs="Arial"/>
        <w:b w:val="0"/>
        <w:bCs w:val="0"/>
        <w:i w:val="0"/>
        <w:iCs w:val="0"/>
        <w:spacing w:val="-2"/>
        <w:w w:val="98"/>
        <w:sz w:val="26"/>
        <w:szCs w:val="26"/>
        <w:lang w:val="en-US" w:eastAsia="zh-TW" w:bidi="ar-SA"/>
      </w:rPr>
    </w:lvl>
    <w:lvl w:ilvl="1">
      <w:start w:val="0"/>
      <w:numFmt w:val="bullet"/>
      <w:lvlText w:val="•"/>
      <w:lvlJc w:val="left"/>
      <w:pPr>
        <w:ind w:left="2184" w:hanging="236"/>
      </w:pPr>
      <w:rPr>
        <w:rFonts w:hint="default"/>
        <w:lang w:val="en-US" w:eastAsia="zh-TW" w:bidi="ar-SA"/>
      </w:rPr>
    </w:lvl>
    <w:lvl w:ilvl="2">
      <w:start w:val="0"/>
      <w:numFmt w:val="bullet"/>
      <w:lvlText w:val="•"/>
      <w:lvlJc w:val="left"/>
      <w:pPr>
        <w:ind w:left="3069" w:hanging="236"/>
      </w:pPr>
      <w:rPr>
        <w:rFonts w:hint="default"/>
        <w:lang w:val="en-US" w:eastAsia="zh-TW" w:bidi="ar-SA"/>
      </w:rPr>
    </w:lvl>
    <w:lvl w:ilvl="3">
      <w:start w:val="0"/>
      <w:numFmt w:val="bullet"/>
      <w:lvlText w:val="•"/>
      <w:lvlJc w:val="left"/>
      <w:pPr>
        <w:ind w:left="3953" w:hanging="236"/>
      </w:pPr>
      <w:rPr>
        <w:rFonts w:hint="default"/>
        <w:lang w:val="en-US" w:eastAsia="zh-TW" w:bidi="ar-SA"/>
      </w:rPr>
    </w:lvl>
    <w:lvl w:ilvl="4">
      <w:start w:val="0"/>
      <w:numFmt w:val="bullet"/>
      <w:lvlText w:val="•"/>
      <w:lvlJc w:val="left"/>
      <w:pPr>
        <w:ind w:left="4838" w:hanging="236"/>
      </w:pPr>
      <w:rPr>
        <w:rFonts w:hint="default"/>
        <w:lang w:val="en-US" w:eastAsia="zh-TW" w:bidi="ar-SA"/>
      </w:rPr>
    </w:lvl>
    <w:lvl w:ilvl="5">
      <w:start w:val="0"/>
      <w:numFmt w:val="bullet"/>
      <w:lvlText w:val="•"/>
      <w:lvlJc w:val="left"/>
      <w:pPr>
        <w:ind w:left="5723" w:hanging="236"/>
      </w:pPr>
      <w:rPr>
        <w:rFonts w:hint="default"/>
        <w:lang w:val="en-US" w:eastAsia="zh-TW" w:bidi="ar-SA"/>
      </w:rPr>
    </w:lvl>
    <w:lvl w:ilvl="6">
      <w:start w:val="0"/>
      <w:numFmt w:val="bullet"/>
      <w:lvlText w:val="•"/>
      <w:lvlJc w:val="left"/>
      <w:pPr>
        <w:ind w:left="6607" w:hanging="236"/>
      </w:pPr>
      <w:rPr>
        <w:rFonts w:hint="default"/>
        <w:lang w:val="en-US" w:eastAsia="zh-TW" w:bidi="ar-SA"/>
      </w:rPr>
    </w:lvl>
    <w:lvl w:ilvl="7">
      <w:start w:val="0"/>
      <w:numFmt w:val="bullet"/>
      <w:lvlText w:val="•"/>
      <w:lvlJc w:val="left"/>
      <w:pPr>
        <w:ind w:left="7492" w:hanging="236"/>
      </w:pPr>
      <w:rPr>
        <w:rFonts w:hint="default"/>
        <w:lang w:val="en-US" w:eastAsia="zh-TW" w:bidi="ar-SA"/>
      </w:rPr>
    </w:lvl>
    <w:lvl w:ilvl="8">
      <w:start w:val="0"/>
      <w:numFmt w:val="bullet"/>
      <w:lvlText w:val="•"/>
      <w:lvlJc w:val="left"/>
      <w:pPr>
        <w:ind w:left="8377" w:hanging="236"/>
      </w:pPr>
      <w:rPr>
        <w:rFonts w:hint="default"/>
        <w:lang w:val="en-US" w:eastAsia="zh-TW"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標楷體" w:hAnsi="標楷體" w:eastAsia="標楷體" w:cs="標楷體"/>
      <w:lang w:val="en-US" w:eastAsia="zh-TW" w:bidi="ar-SA"/>
    </w:rPr>
  </w:style>
  <w:style w:styleId="BodyText" w:type="paragraph">
    <w:name w:val="Body Text"/>
    <w:basedOn w:val="Normal"/>
    <w:uiPriority w:val="1"/>
    <w:qFormat/>
    <w:pPr/>
    <w:rPr>
      <w:rFonts w:ascii="標楷體" w:hAnsi="標楷體" w:eastAsia="標楷體" w:cs="標楷體"/>
      <w:sz w:val="28"/>
      <w:szCs w:val="28"/>
      <w:lang w:val="en-US" w:eastAsia="zh-TW" w:bidi="ar-SA"/>
    </w:rPr>
  </w:style>
  <w:style w:styleId="Heading1" w:type="paragraph">
    <w:name w:val="Heading 1"/>
    <w:basedOn w:val="Normal"/>
    <w:uiPriority w:val="1"/>
    <w:qFormat/>
    <w:pPr>
      <w:ind w:left="2034" w:right="1472"/>
      <w:jc w:val="center"/>
      <w:outlineLvl w:val="1"/>
    </w:pPr>
    <w:rPr>
      <w:rFonts w:ascii="標楷體" w:hAnsi="標楷體" w:eastAsia="標楷體" w:cs="標楷體"/>
      <w:sz w:val="40"/>
      <w:szCs w:val="40"/>
      <w:lang w:val="en-US" w:eastAsia="zh-TW" w:bidi="ar-SA"/>
    </w:rPr>
  </w:style>
  <w:style w:styleId="ListParagraph" w:type="paragraph">
    <w:name w:val="List Paragraph"/>
    <w:basedOn w:val="Normal"/>
    <w:uiPriority w:val="1"/>
    <w:qFormat/>
    <w:pPr>
      <w:ind w:left="1771" w:hanging="701"/>
    </w:pPr>
    <w:rPr>
      <w:rFonts w:ascii="標楷體" w:hAnsi="標楷體" w:eastAsia="標楷體" w:cs="標楷體"/>
      <w:lang w:val="en-US" w:eastAsia="zh-TW" w:bidi="ar-SA"/>
    </w:rPr>
  </w:style>
  <w:style w:styleId="TableParagraph" w:type="paragraph">
    <w:name w:val="Table Paragraph"/>
    <w:basedOn w:val="Normal"/>
    <w:uiPriority w:val="1"/>
    <w:qFormat/>
    <w:pPr/>
    <w:rPr>
      <w:rFonts w:ascii="標楷體" w:hAnsi="標楷體" w:eastAsia="標楷體" w:cs="標楷體"/>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新北高中-PC</dc:creator>
  <dc:description/>
  <dcterms:created xsi:type="dcterms:W3CDTF">2023-10-27T01:10:07Z</dcterms:created>
  <dcterms:modified xsi:type="dcterms:W3CDTF">2023-10-27T01:10:07Z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2023-10-24T00:00:00Z</vt:filetime>
  </property>
  <property fmtid="{D5CDD505-2E9C-101B-9397-08002B2CF9AE}" pid="3" name="Creator">
    <vt:lpwstr>Acrobat PDFMaker 23 Word 版</vt:lpwstr>
  </property>
  <property fmtid="{D5CDD505-2E9C-101B-9397-08002B2CF9AE}" pid="4" name="LastSaved">
    <vt:filetime>2023-10-27T00:00:00Z</vt:filetime>
  </property>
  <property fmtid="{D5CDD505-2E9C-101B-9397-08002B2CF9AE}" pid="5" name="Producer">
    <vt:lpwstr>Adobe PDF Library 23.6.136</vt:lpwstr>
  </property>
  <property fmtid="{D5CDD505-2E9C-101B-9397-08002B2CF9AE}" pid="6" name="SourceModified">
    <vt:lpwstr>D:20231024070433</vt:lpwstr>
  </property>
</Properties>
</file>